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  <w:b w:val="1"/>
          <w:bCs w:val="1"/>
        </w:rPr>
        <w:t xml:space="preserve">UNIVERSIDAD NACIONAL DE INGENIERÍA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Facultad de Ingeniería Ambiental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Escuela Profesional de Higiene y Seguridad Industrial</w:t>
      </w:r>
    </w:p>
    <w:p>
      <w:pPr/>
      <w:r>
        <w:pict>
          <v:shape type="#_x0000_t75" stroked="f" style="width:43pt; height:54pt; margin-left:-24pt; margin-top:-48pt; position:absolute; mso-position-horizontal:absolute; mso-position-vertical:absolute; mso-position-horizontal-relative:char; mso-position-vertical-relative:line; z-index:-2147483647;">
            <v:imagedata r:id="rId7" o:title=""/>
          </v:shape>
        </w:pict>
      </w:r>
    </w:p>
    <w:p>
      <w:pPr>
        <w:jc w:val="center"/>
      </w:pPr>
      <w:r>
        <w:rPr>
          <w:sz w:val="18"/>
          <w:szCs w:val="18"/>
          <w:b w:val="1"/>
          <w:bCs w:val="1"/>
        </w:rPr>
        <w:t xml:space="preserve">Sílabo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Información general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Datos de la asignatura: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Escuela Profesional	: Higiene y Seguridad Industrial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Departamento Académico	: Seguridad y gestión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Plan de Estudio	: 2018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Asignatura	: Matemáticas actuariales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Código	: MA-085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Ciclo	: 8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Créditos	: 2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horas por ciclo	: 48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horas semanales	: 3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Pre-Requisito	: EP-305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Tipo de asignatura	: Obligatorio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Modalidad	: Presencial 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Periodo Académico	: 2025-2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Datos de docentes: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Docente Responsable	: Mg. Ing. Héctor Antonio Gil Sandoval (hgils@uni.pe)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Jefe de prácticas	: No aplica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Asistente de cátedra	: No aplica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Ayudante de cátedra	: No aplica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Sumilla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</w:rPr>
        <w:t xml:space="preserve">La asignatura es de naturaleza teórico práctica, cuyo propósito es el aseguramiento ante riesgos económicos y financieros, a través del desarrollo de los modelos matemáticos que explican el cálculo de seguros de vida y su posterior aplicación en la realidad social del país como parte del campo de acción del Ingeniero de Higiene y Seguridad Industrial.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Competencias genéricas del perfil de egreso a las que aporta a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abstracción, análisis y síntesis para decidir y actuar con ética y juicio propio en la identificación, desarrollo y aplicación de medidas que permitan resolver los conflictos propios de la interacción del estado, los empleadores y el trabajador.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investigación, innovación y desarrollo tecnológico para lograr soluciones ecoeficientes para el desarrollo industrial.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aplicar sus conocimientos teóricos prácticos para el desarrollo estratégico de medidas de higiene, seguridad y ergonómicas para la protección de los trabajadores, del sistema productivo y del ambiente laboral.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el desarrollo de proyectos de ingeniería que permitan mejorar las condiciones de trabajo, la productividad y competitividad industrial.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Habilidad para comunicar y propender a la prevención de riesgos asociados a la aplicación de políticas, planes y proyectos del desarrollo.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informar, comunicar y educar a grupos humanos a nivel de las comunidades, los trabajadores y los dirigentes empresariales o las instituciones de gobierno sobre los principios y orientaciones estratégicas y programáticas de la higiene y seguridad en el desarrollo sostenible.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Responsabilidad social que le permite participar activamente en los procesos de desarrollo de los trabajadores.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desarrollar políticas de salud ocupacional que faciliten el desarrollo social del país.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el auto aprendizaje y la innovación para lograr una permanente actualización de conocimientos consecuentes con la dinámica del desarrollo.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Resultados de aprendizaje de la asignatura (competencias de egreso de la asignatura).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Aplica los conceptos de interés simple (capitalización simple), interés compuesto (capitalización compuesta), factores financieros de capitalización y actualización, cronograma de pagos libre amortización, fecha fija y fecha cambiante, rentas y sus factores financieros; así mismo probabilidad, función de probabilidad y esperanza matemática en el ámbito profesional y personal, teniendo en cuenta las directrices del Banco Central de Reservas del Perú, DS 003-98-SA (Normas Técnicas del SCTR), Ley 29946 de Contrato de Seguro vida ley, directrices y resoluciones de la Superintendencia de Banca y Seguros.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Aplica los conceptos de seguro en el ámbito profesional y personal, teniendo en cuenta las directrices del Banco Central de Reservas del Perú, DS 003-98-SA (Normas Técnicas del SCTR), Ley 29946 de Contrato de Seguro vida ley, directrices y resoluciones de la Superintendencia de Banca y Seguros.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Calcula los seguros de vida, teniendo en cuenta las directrices del Banco Central de Reservas del Perú, DS 003-98-SA (Normas Técnicas del SCTR), Ley 29946 de Contrato de Seguro vida ley, directrices y resoluciones de la Superintendencia de Banca y Seguros.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Calcula rentas periódicas, teniendo en cuenta las directrices del Banco Central de Reservas del Perú, DS 003-98-SA (Normas Técnicas del SCTR), Ley 29946 de Contrato de Seguro vida ley, directrices y resoluciones de la Superintendencia de Banca y Seguros.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Unidades de aprendizaje.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1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Conceptos básicos de matemáticas financieras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Aplica los conceptos de interés simple (capitalización simple), interés compuesto (capitalización compuesta), factores financieros de capitalización y actualización, cronograma de pagos libre amortización, fecha fija y fecha cambiante, rentas y sus factores financieros; así mismo probabilidad, función de probabilidad y esperanza matemática en el ámbito profesional y personal, teniendo en cuenta las directrices del Banco Central de Reservas del Perú, DS 003-98-SA (Normas Técnicas del SCTR), Ley 29946 de Contrato de Seguro vida ley, directrices y resoluciones de la Superintendencia de Banca y Seguros.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HL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Interés Simple y compuesto – Capitalización simple y compuesta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interés simple y compuesto (capitalización simple y compuesta)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Factores financieros de capitalización y actualización, cronograma de pagos libre amortización, fecha fija y fecha cambiante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factores financieros de capitalización y actualización, cronograma de pagos libre amortización, fecha fija y fecha cambiante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Rentas y sus factores financieros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rentas y sus factores financieros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4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4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Probabilidad, función de probabilidad y esperanza matemática.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probabilidad y esperanza matemática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14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Práctica calificada.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2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Nociones de seguro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Aplica los conceptos de seguro en el ámbito profesional y personal, teniendo en cuenta las directrices del Banco Central de Reservas del Perú, DS 003-98-SA (Normas Técnicas del SCTR), Ley 29946 de Contrato de Seguro vida ley, directrices y resoluciones de la Superintendencia de Banca y Seguros.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HL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5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5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Historia de los seguros. Concepto de seguro. Principios del seguro. Términos del seguro. Riesgos, primas, siniestros. Elementos del seguro. Contrato de seguro – Caracteres Jurídicos. Clasificación de los seguros. Seguros de vida. Seguros mixtos y dotales.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seguro. Términos del seguro. Riesgos, primas, siniestros. Elementos del seguro. Caracteres Jurídicos de un seguro.  Seguros de vida. Seguros mixtos y dotales.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6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6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Seguro social. Definición. Leyes y normativas aplicables. Aplicaciones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seguro social, leyes y normativas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7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7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Sistemas pensionarios. Definición. Leyes y normativas aplicables. Aplicaciones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sistemas pensionarios, leyes y normativas aplicables.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SCTR. Definición. Leyes y normativas aplicables. Aplicaciones. Seguro de vida ley. Fiscalización del sistema de seguros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SCTR y Seguro de vida ley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4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Práctica calificada.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3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Cálculo de seguros de vida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Calcula los seguros de vida, teniendo en cuenta las directrices del Banco Central de Reservas del Perú, DS 003-98-SA (Normas Técnicas del SCTR), Ley 29946 de Contrato de Seguro vida ley, directrices y resoluciones de la Superintendencia de Banca y Seguros.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HL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9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9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Función de supervivencia. Probabilidades de vida y muerte. Probabilidad de vida para un período de un año. Probabilidad de muerte para un período de un año.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función de supervivencia. Probabilidades de vida y muerte. Probabilidad de vida para un período de un año. Probabilidad de muerte para un período de un año.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10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10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Análisis de una tabla de mortalidad. Esperanza de vida o vida media.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0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Análisis de una tabla de mortalidad. Esperanza de vida o vida media.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11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Valor actuarial. Símbolos de conmutación. Modelos matemáticos usados para el cálculo de seguros de vida.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valor actuarial. Símbolos de conmutación. Modelos matemáticos usados para el cálculo de seguros de vida.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seguro en caso de supervivencia, de muerte por un año y por n años.
Seguros temporales y de vida entera. Clasificación. Deducción de las fórmulas de valor actual.
Aplicaciones.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-1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seguro en caso de supervivencia, de muerte por un año y por n años.
Seguros temporales y de vida entera. Clasificación. Deducción de las fórmulas de valor actual.
Aplicaciones.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Práctica Calificada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4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Rentas periódicas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Calcula rentas periódicas, teniendo en cuenta las directrices del Banco Central de Reservas del Perú, DS 003-98-SA (Normas Técnicas del SCTR), Ley 29946 de Contrato de Seguro vida ley, directrices y resoluciones de la Superintendencia de Banca y Seguros.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HL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13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13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Definición, clases. Rentas anuales y fraccionarias, vencidas y anticipadas, inmediatas y diferidas, temporarias y vitalicias. Rentas temporarias inmediatas post y pre pagables, deducción de las fórmulas de valor actual o prima
única. Aplicaciones.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rentas anuales y fraccionarias, vencidas y anticipadas, inmediatas y diferidas, temporarias y vitalicias.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14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14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Rentas temporarias diferidas post y pre-pagables. Deducción de fórmulas de valor actual o prima
única. Aplicaciones. Rentas vitalicias. Deducción de las fórmulas de valor actual para rentas inmediatas post y pre pagables.
Monto de la renta vitalicia. Aplicaciones.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rentas temporarias diferidas post y pre-pagables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15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15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Primas netas y reservas matemáticas. Definición. Principio de equivalencia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Primas netas y reservas matemáticas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16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16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Fórmulas de primas netas anuales y fraccionadas. Aplicaciones. Fórmulas de reservas matemáticas específicas. Aplicaciones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0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conceptos de Primas netas y reservas matemáticas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Herramientas de videoconferencias (Zoom, Teams, Meet).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Excel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Práctica calificada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Metodología de aprendizaje.</w:t>
      </w:r>
    </w:p>
    <w:tbl>
      <w:tblGrid>
        <w:gridCol w:w="3000" w:type="dxa"/>
        <w:gridCol w:w="800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Estrategias</w:t>
            </w:r>
          </w:p>
        </w:tc>
        <w:tc>
          <w:tcPr>
            <w:tcW w:w="8000" w:type="dxa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Metodologías</w:t>
            </w:r>
          </w:p>
        </w:tc>
      </w:tr>
      <w:tr>
        <w:trPr/>
        <w:tc>
          <w:tcPr>
            <w:tcW w:w="30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Interactiva</w:t>
            </w:r>
          </w:p>
        </w:tc>
        <w:tc>
          <w:tcPr>
            <w:tcW w:w="800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Interacción dinámica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Recursos para el desarrollo de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Herramientas de videoconferencias (Zoom, Teams, Meet).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Excel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Sistema de evaluación.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tbl>
      <w:tblGrid>
        <w:gridCol w:w="1800" w:type="dxa"/>
        <w:gridCol w:w="2300" w:type="dxa"/>
        <w:gridCol w:w="2700" w:type="dxa"/>
        <w:gridCol w:w="3500" w:type="dxa"/>
        <w:gridCol w:w="180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8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Sistema/ Subsistema</w:t>
            </w:r>
          </w:p>
        </w:tc>
        <w:tc>
          <w:tcPr>
            <w:tcW w:w="23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Prueba de Evaluación</w:t>
            </w:r>
          </w:p>
        </w:tc>
        <w:tc>
          <w:tcPr>
            <w:tcW w:w="27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Peso sobre la nota final de la asignatura (Porcentaje)</w:t>
            </w:r>
          </w:p>
        </w:tc>
        <w:tc>
          <w:tcPr>
            <w:tcW w:w="35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Descripción</w:t>
            </w:r>
          </w:p>
        </w:tc>
        <w:tc>
          <w:tcPr>
            <w:tcW w:w="18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Semana de evaluación</w:t>
            </w:r>
          </w:p>
        </w:tc>
      </w:tr>
      <w:tr>
        <w:trPr/>
        <w:tc>
          <w:tcPr>
            <w:tcW w:w="1800" w:type="dxa"/>
            <w:vAlign w:val="center"/>
            <w:vMerge w:val="restart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F</w:t>
            </w:r>
          </w:p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Examen Parcial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25 %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Examen parcial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Examen parcial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8</w:t>
            </w:r>
          </w:p>
        </w:tc>
      </w:tr>
      <w:tr>
        <w:trPr/>
        <w:tc>
          <w:tcPr>
            <w:tcW w:w="1800" w:type="dxa"/>
            <w:vMerge w:val="continue"/>
            <w:noWrap/>
          </w:tcPr>
          <w:p/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Examen Final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50 %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Examen final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Examen final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16</w:t>
            </w:r>
          </w:p>
        </w:tc>
      </w:tr>
      <w:tr>
        <w:trPr/>
        <w:tc>
          <w:tcPr>
            <w:tcW w:w="1800" w:type="dxa"/>
            <w:vMerge w:val="continue"/>
            <w:noWrap/>
          </w:tcPr>
          <w:p/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Promedio de prácticas o trabajos calificados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25 %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04 prácticas calificadas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04 prácticas calificadas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4,7,10,14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Referencias bibliográficas.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  <w:i w:val="1"/>
          <w:iCs w:val="1"/>
        </w:rPr>
        <w:t xml:space="preserve">Obligatorias: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1. Garrafa Aragón, Hernán B (2008). Matemática Financiera. Editorial Universitaria de la Universidad Nacional de Ingeniería.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2. González Galé, José. Elementos de cálculo actuarial. Editorial Macchi (Buenos Aires)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3. Pinos Luzuriaga, Luis Gabriel. Cálculo actuarial. Casa editora Universidad del Azuay.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4. Sandoya, Fernando (2007). Matemáticas Actuariales y Operaciones de seguros. Segunda edición. Editorial ESPOL.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5. Vegas Asensio, Jesús y Nieto de Alba, Ubaldo (1993). Matemática actuarial. Editorial MAPFRE S.A.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Anexos.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B4B13"/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/>
        </w:tabs>
        <w:ind w:left="425" w:hanging="360"/>
      </w:pPr>
      <w:rPr>
        <w:rFonts/>
      </w:rPr>
    </w:lvl>
  </w:abstractNum>
  <w:abstractNum w:abstractNumId="2">
    <w:nsid w:val="9FEF865C"/>
    <w:multiLevelType w:val="single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200"/>
      </w:pPr>
      <w:rPr>
        <w:rFonts/>
      </w:rPr>
    </w:lvl>
  </w:abstractNum>
  <w:abstractNum w:abstractNumId="3">
    <w:nsid w:val="18375F45"/>
    <w:multiLevelType w:val="single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200"/>
      </w:pPr>
      <w:rPr>
        <w:rFonts/>
      </w:rPr>
    </w:lvl>
  </w:abstractNum>
  <w:abstractNum w:abstractNumId="4">
    <w:nsid w:val="3FA6C7C7"/>
    <w:multiLevelType w:val="singleLevel"/>
    <w:lvl w:ilvl="0">
      <w:start w:val="1"/>
      <w:numFmt w:val="bullet"/>
      <w:suff w:val="tab"/>
      <w:lvlText w:val="•"/>
      <w:pPr>
        <w:tabs>
          <w:tab w:val="num" w:pos="750"/>
        </w:tabs>
        <w:ind w:left="750" w:hanging="30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P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18"/>
        <w:szCs w:val="18"/>
        <w:lang w:val="es-P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2025-09-29T09:02:08-07:00</dcterms:created>
  <dcterms:modified xsi:type="dcterms:W3CDTF">2025-09-29T09:02:08-07:00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