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28"/>
          <w:szCs w:val="28"/>
          <w:b w:val="1"/>
          <w:bCs w:val="1"/>
        </w:rPr>
        <w:t xml:space="preserve">GA-136 - EVALUACION Y CONTROL DE CONTAMINACION SONORA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CÓDIGO	: </w:t>
      </w:r>
      <w:r>
        <w:rPr>
          <w:rFonts w:ascii="Arial" w:hAnsi="Arial" w:eastAsia="Arial" w:cs="Arial"/>
          <w:sz w:val="22"/>
          <w:szCs w:val="22"/>
        </w:rPr>
        <w:t xml:space="preserve">GA-136 Evaluación y control de contaminación sonora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CICLO	: </w:t>
      </w:r>
      <w:r>
        <w:rPr>
          <w:rFonts w:ascii="Arial" w:hAnsi="Arial" w:eastAsia="Arial" w:cs="Arial"/>
          <w:sz w:val="22"/>
          <w:szCs w:val="22"/>
        </w:rPr>
        <w:t xml:space="preserve">7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CRÉDITOS	: </w:t>
      </w:r>
      <w:r>
        <w:rPr>
          <w:rFonts w:ascii="Arial" w:hAnsi="Arial" w:eastAsia="Arial" w:cs="Arial"/>
          <w:sz w:val="22"/>
          <w:szCs w:val="22"/>
        </w:rPr>
        <w:t xml:space="preserve">3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HORAS POR SEMANA	: </w:t>
      </w:r>
      <w:r>
        <w:rPr>
          <w:rFonts w:ascii="Arial" w:hAnsi="Arial" w:eastAsia="Arial" w:cs="Arial"/>
          <w:sz w:val="22"/>
          <w:szCs w:val="22"/>
        </w:rPr>
        <w:t xml:space="preserve">4 (Teoría-Laboratorio)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PREREQUISITOS	: </w:t>
      </w:r>
      <w:r>
        <w:rPr>
          <w:rFonts w:ascii="Arial" w:hAnsi="Arial" w:eastAsia="Arial" w:cs="Arial"/>
          <w:sz w:val="22"/>
          <w:szCs w:val="22"/>
        </w:rPr>
        <w:t xml:space="preserve">HO-230 / FI-413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CONDICION	: </w:t>
      </w:r>
      <w:r>
        <w:rPr>
          <w:rFonts w:ascii="Arial" w:hAnsi="Arial" w:eastAsia="Arial" w:cs="Arial"/>
          <w:sz w:val="22"/>
          <w:szCs w:val="22"/>
        </w:rPr>
        <w:t xml:space="preserve">Electivo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ÁREA ACADÉMICA	: </w:t>
      </w:r>
      <w:r>
        <w:rPr>
          <w:rFonts w:ascii="Arial" w:hAnsi="Arial" w:eastAsia="Arial" w:cs="Arial"/>
          <w:sz w:val="22"/>
          <w:szCs w:val="22"/>
        </w:rPr>
        <w:t xml:space="preserve">Electivos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	: </w:t>
      </w:r>
      <w:r>
        <w:rPr>
          <w:rFonts w:ascii="Arial" w:hAnsi="Arial" w:eastAsia="Arial" w:cs="Arial"/>
          <w:sz w:val="22"/>
          <w:szCs w:val="22"/>
        </w:rPr>
        <w:t xml:space="preserve">Blanca Mamani Herrera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 EMAIL	: </w:t>
      </w:r>
      <w:r>
        <w:rPr>
          <w:rFonts w:ascii="Arial" w:hAnsi="Arial" w:eastAsia="Arial" w:cs="Arial"/>
          <w:sz w:val="22"/>
          <w:szCs w:val="22"/>
        </w:rPr>
        <w:t xml:space="preserve">bmamanih@uni.edu.pe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SUMILLA DEL CURSO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Asignatura teórico-práctico orientado a desarrollar competencias en la identificación, evaluación y control del ruido ocupacional y ambiental. Tiene como propósito que el estudiante analice el comportamiento del ruido en entornos laborales, evalúe la exposición conforme a normativa vigente y proponga soluciones técnicas eficaces, promoviendo la solución de problemas, el diseño de ingeniería y la responsabilidad profesional. Los contenidos comprenden: fundamentos de acústica, fuentes y propiedades del ruido, efectos en la salud, equipos de medición, normativa aplicable, análisis en frecuencia y dosis de exposición; estrategias de evaluación según ISO 9612, ISO 1996, RD 1367 y RD 1368; y diseño de soluciones de control como aislamiento, acondicionamiento acústico y protectores auditivos, mediante el estudio de casos y aplicación de herramientas técnicas.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COMPETENCIAS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Analiza el ruido en entornos laborales, incluyendo su naturaleza, características industriales y propiedades físicas, para garantizar una evaluación precisa y contextualizada del riesgo acústico, conforme a normativa vigente, criterios técnicos de frecuencia, tiempo y dosis de exposición.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Analiza las fuentes de ruido y su comportamiento en distintos entornos laborales, considerando condiciones reales de exposición, modos de propagación y características del espacio, para fundamentar decisiones precisas en la evaluación del riesgo acústico.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Evalúa la exposición ambiental al ruido, aplicando criterios y metodologías establecidos en las normas ISO ISO 1996, RD 1367 para garantizar análisis técnicos precisos, representativos y alineados con la normativa vigente.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Evalúa la exposición ocupacional, aplicando criterios y metodologías establecidos en las normas ISO 9612, para garantizar análisis técnicos precisos, representativos y alineados con la normativa vigente.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Propone y evalúa soluciones de control del ruido ocupacional, a través del diseño de medidas de aislamiento, acondicionamiento acústico y protección auditiva, considerando fundamentos técnicos, casos representativos y la efectividad de las soluciones en condiciones reales de exposición.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Introducción a la contaminación sonora. / 12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Introducción a la acústica. Definición de ruido y efectos en la salud. Fuentes y entornos de ruido. Enfoque evaluativo. / Ruido industrial. Equipos de medición. Normativa. Ponderaciones en frecuencia y tiempo. / Propiedades del ruido. Frecuencia de ruido. Tiempos y dosis de exposición. Análisis de ruido en frecuencia.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Comportamiento de ruido. / 8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Fuentes propias y combinadas. Desarrollo de casos. / Comportamiento de ruido. Ruido directo y reflejado. Ruido al aire libre y en ambiente cerrado.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Ruido Ambiental / 12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Ruido Ambiental - ISO 1996. Normativa y parámetros. Análisis de casos. / Técnicas de medición - RD 1367. Medición, corrección y presentación según RD 1367. / Técnicas de análisis y evaluación de ruido ambiental.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Estrategias de evaluación de ruido / 12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Estrategias de evaluación de ruido ocupacional según la ISO 9612 / Análisis de incertidumbre de estrategias según ISO 9612. Medición de exposición a puestos de trabajo / Calculadora para la Prevención INSST. Análisis y presentación de resultados de exposición a ruido.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Control de la contaminación sonora. / 12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Introducción al control de ruido. Revisión de casos. / Aislamiento y absorción. Acondicionamiento acústico de interiores. Taller de casos de aislamiento y acondicionamiento. / Control de ruido en el trabajador. Revisión de materiales acústicos.</w:t>
      </w:r>
    </w:p>
    <w:p/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LABORATORIOS Y EXPERIENCIAS PRÁCTICAS.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1: Reconocimiento de equipos de medición de Ruido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2: Identificación de frecuencias que componen una fuente de ruido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3: Medición de fuentes de ruido, interpretación en tiempo y frecuencia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4: Medición de ruido ambiental – RD 1367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5: Medición según ISO 9612:2010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6: Materiales y sistemas acústicos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Laboratorio 7: Atenuación de Protectores auditivos – Uso del EAR FIT para medir atenuación real.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METODOLOGÍA.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 curso se desarrolla en sesiones teóricas y de laboratorio. En las sesiones teóricas, el docente presenta los principios, normas y herramientas conceptuales necesarios para la comprensión del fenómeno estudiado. En las sesiones de laboratorio, los estudiantes utilizan equipos especializados y software técnico para recolectar, analizar e interpretar datos experimentales. Se promueve la participación activa, el uso seguro y responsable de los equipos, y la elaboración de informes técnicos que integren teoría y evidencia experimental.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FORMULA DE EVALUACION.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Sistema de Evaluación: G. Cálculo del Promedio Final:</w:t>
      </w:r>
    </w:p>
    <w:p/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Parcial: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Final: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Promedio de prácticas o trabajos calificados: 	 Peso 1. 4 prácticas. Se elimina 1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BIBLIOGRAFÍA.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Harris, C. M. (1977). Manual para el control del ruido (J. F. Rodríguez Acosta et al., Trans.). Instituto de Estudios de Administración Local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Sociedad de Prevención de FREMAP. (s.f.). Manual de higiene industrial (J. Truchado Torrejon y M. Martinez Martin, Dirs.; M. P. Vega Ramiro, Colab.). FREMAP.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International Organization for Standardization. (2009). ISO 1996-1:2009. Acoustics - Description, measurement and assessment of environmental noise - Part 1: Basic quantities and assessment procedures.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International Organization for Standardization. (2009). ISO 1996-2:2009. Acoustics - Description, measurement and assessment of environmental noise - Part 2: Determination of environmental noise levels.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International Organization for Standardization. (2009). ISO 9612:2009. Acoustics - Determination of occupational noise exposure - Engineering method.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Gobierno de España. (2007). Real Decreto 1367/2007, de 19 de octubre, por el que se desarrolla la Ley 37/2003 del Ruido en lo referente a zonificación acústica, objetivos de calidad y emisiones acústicas. Boletín Oficial del Estado.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Gobierno de España. (2006). Real Decreto 286/2006, de 10 de marzo, sobre la protección de la salud y la seguridad de los trabajadores contra los riesgos relacionados con la exposición al ruido. Boletín Oficial del Estado Español.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93139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D8D5AE5F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abstractNum w:abstractNumId="3">
    <w:nsid w:val="B4D747BF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abstractNum w:abstractNumId="4">
    <w:nsid w:val="C522F8A1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2025-08-29T09:37:31-07:00</dcterms:created>
  <dcterms:modified xsi:type="dcterms:W3CDTF">2025-08-29T09:37:31-07:00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